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2085"/>
          <w:tab w:val="center" w:leader="none" w:pos="468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المؤتمر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YE"/>
        </w:rPr>
        <w:t>ا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لدولي حول تجارب المصالحة الو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ط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ني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ة</w:t>
      </w:r>
    </w:p>
    <w:p>
      <w:pPr>
        <w:pStyle w:val="style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التجارب الأفريقية للمصالحة الوطنية</w:t>
      </w:r>
    </w:p>
    <w:p>
      <w:pPr>
        <w:pStyle w:val="style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الرباط ــ المملكة المغربية</w:t>
      </w:r>
    </w:p>
    <w:p>
      <w:pPr>
        <w:pStyle w:val="style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17 ــ 18 يناير 2019م</w:t>
      </w:r>
    </w:p>
    <w:p>
      <w:pPr>
        <w:pStyle w:val="style0"/>
        <w:rPr>
          <w:rFonts w:asciiTheme="majorBidi" w:hAnsiTheme="majorBidi" w:cstheme="majorBidi"/>
          <w:sz w:val="32"/>
          <w:szCs w:val="32"/>
          <w:rtl/>
          <w:lang w:bidi="ar-YE"/>
        </w:rPr>
      </w:pPr>
    </w:p>
    <w:p>
      <w:pPr>
        <w:pStyle w:val="style0"/>
        <w:jc w:val="right"/>
        <w:rPr>
          <w:rFonts w:asciiTheme="majorBidi" w:hAnsiTheme="majorBidi" w:cstheme="majorBidi"/>
          <w:sz w:val="32"/>
          <w:szCs w:val="32"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ورقة أعدها السيد محمد سوما </w:t>
      </w:r>
      <w:r>
        <w:rPr>
          <w:rFonts w:asciiTheme="majorBidi" w:hAnsiTheme="majorBidi" w:cstheme="majorBidi"/>
          <w:sz w:val="32"/>
          <w:szCs w:val="32"/>
          <w:lang w:bidi="ar-YE"/>
        </w:rPr>
        <w:t xml:space="preserve">    </w:t>
      </w:r>
    </w:p>
    <w:p>
      <w:pPr>
        <w:pStyle w:val="style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يتخذ مفهوم المصالحة أشكالاً مختلفة في أفريقيا ، حيث تتبنى الدول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الخارجة من الصراعات أو تلك التي كانت تحكمها أنظمة قمعية طرقاً مختلفة لتحقيق السلام . وبالتالي فإنه لا يوجد هناك تعريف عالمي لهذا المفهوم ويكن يمكن تسليط الضوء على المسار الذي تتخذه فالدول الأفريقية التي 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قوم بتطبيق العدالة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الانتقالية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ركز على ضمان عدم تكرار الانتهاكات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</w:t>
      </w:r>
      <w:r>
        <w:rPr>
          <w:rFonts w:hint="cs" w:asciiTheme="majorBidi" w:hAnsiTheme="majorBidi" w:cstheme="majorBidi"/>
          <w:sz w:val="32"/>
          <w:szCs w:val="32"/>
          <w:rtl/>
          <w:lang w:bidi="ar-YE"/>
        </w:rPr>
        <w:t>هج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لحقوق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نسان وكذا التركيز على حل الصراعات وتحقيق السلام المستدام .</w:t>
      </w:r>
    </w:p>
    <w:p>
      <w:pPr>
        <w:pStyle w:val="style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1 ــ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القضايا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المفاهيمية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للمصالحة :-</w:t>
      </w:r>
    </w:p>
    <w:p>
      <w:pPr>
        <w:pStyle w:val="style179"/>
        <w:ind w:left="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ــ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المصالحة هي في الأساس "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الاعتراف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بما حدث في الماضي ، وتحمل المسؤولية واتخاذ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خطوات نحو ( إعادة ) بناء الثقة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، 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نطوي على تعزيز الحقيقة والعدالة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والرحمة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والسلام ، كما أنها تتعلق بضمان منع تكرار حدوث الصراعات وضمان التعايش السلمي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وعلى الرغم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من أنه يمكن حل الصراعات بدون المصالحة ، إلا أن ذلك لا يضمن عدم حدوثها في المجتمع مرة أخرى ، ذلك لأن الأطرا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ف المتحاربة لا تتاح لها الفرصة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لمواجهة جذور العداوة فيما بينها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من أجل معالجتها ، وبالتالي فإن المصالحة تعتبر إحدى الطرق العامة لحل الصراعات وايضاً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إحدى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نتائجها إلى جانب الوساطة والتحكيم والمفاوضات .</w:t>
      </w:r>
    </w:p>
    <w:p>
      <w:pPr>
        <w:pStyle w:val="style179"/>
        <w:ind w:left="1080"/>
        <w:jc w:val="right"/>
        <w:rPr>
          <w:rFonts w:hint="cs"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ــ هناك عدة أمثلة على حل الصراعات في البلدان الأفريقية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يتضح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من خلالها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انها تميل إلى تفضيل المصالحة والعفو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بدلا من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اتخاذ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تدابير عقابية ضد مرتكبي انتهاكات حقوق الإنسان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</w:p>
    <w:p>
      <w:pPr>
        <w:pStyle w:val="style179"/>
        <w:ind w:left="1080"/>
        <w:jc w:val="right"/>
        <w:rPr>
          <w:rFonts w:asciiTheme="majorBidi" w:hAnsiTheme="majorBidi" w:cstheme="majorBidi"/>
          <w:b/>
          <w:bCs/>
          <w:sz w:val="32"/>
          <w:szCs w:val="32"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2- ت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ج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ارب المصالحة الوطنية في البلدان الأفريقية :-</w:t>
      </w:r>
    </w:p>
    <w:p>
      <w:pPr>
        <w:pStyle w:val="style179"/>
        <w:ind w:left="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أــ المصالحة التقليدية "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ماتابوت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" في أوغندا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ماتبوت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هي كلمة تعني شرب جذر مر من شجرة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الماتو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كأس مشتركة وهي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عبارة عن مراسيم مصالحة تقليدية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لشعب " أتشولي " في شما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أوغندا ، وتكمن الفكرة في ذلك بأن يعترف الأفراد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بأخطائهم في الماضي ويتحملوا مسئولية ذلك ومن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خلال شربهم من نفس الكأس فإن ذلك يعني أنهم جميعاً تجرعوا مرارات الماضي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وتستند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ماتابوت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على خمسة مبادئ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للعدالة خاصة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بــ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" أتشولي " وهي :-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- عدم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ارتكاب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جريمة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- لا تكذب ولا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تتهم شخصاً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كذب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اً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أطلب العفو وت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علم كيف تصفح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الاعتراف بالتجاوزات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تحمل مسؤولية افعالك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وبالتالي فإن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ماتابوت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تعزز " التسامح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وإعادة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المياه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إلى مجار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ها بدلاً من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الانتقام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".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وتعتقد جماعة أتشولي أن الشراب الذي تم صنعة من أوراق وجذور " شجره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ماتابوت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" يمكن أن يحقق الشفاء الحقيقي بطريقة لا يمك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 لنظام العدالة الرسمي أن يحققه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وبالتالي فإن العملية تدور حول المصالحة كضمان لعدم تكرار ما حدث في الماضي من صراع : بما أن الجاني يتحمل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مسئولية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أفعاله دون أ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يقول الاكاذيب ، فإن ذلك يعني أن الحقيقة قد ثبتت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،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ويرتبط العفو والتسامح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ارتباطاً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وثيقاً بالرحمة ويمكن مرتكبي الجرائم من إعادة الاندماج مع المجتمع بشكل كامل والمساهمة في تحقيق السلام .</w:t>
      </w:r>
    </w:p>
    <w:p>
      <w:pPr>
        <w:pStyle w:val="style179"/>
        <w:ind w:left="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br/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ب- المحاكم التقليدية (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غاتشات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) في رواندا :-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بعد الإبادة الجماعية التي حدثت في رواندا عام 1994م ، وبصرف النظر عن المحكمة الجنائية الدولية لرواندا التي أنشأتها الأمم المتحدة ، قامت رواندا بإنشاء محاكم تقليدية تد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عى (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غاتشات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) ، حيث يتم فيها استدعاء المتهمين بجرائم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الإبادة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الجماعية عام 1994م وتوج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ه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لهم التهم مباشرة من قبل المشتكين ويشرف على المحاكمات قضاه مؤهلون يتم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انتخابهم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من السكان المحليين ، وتهدف (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غاتشات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) إلى تحقيق المصالحة . ويقوم المتهمون بالإدلاء بأقوالهم بخصوص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أع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مال التي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ارتكبوها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مقابل تخفيف العقوبة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وعلى الرغم من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أن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هذه الطريقة (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غاتشات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) لاقت بعض الانتقادات الا انها في الحقيقية تعد الخيار الأم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ثل مقارنة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باحتمال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سجن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حوالي 125000 من المشتب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ه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في ارتكابهم جرائم إبادة جماعية وهو مالم يكن ممكناً في ضوء قدرات الدولة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</w:p>
    <w:p>
      <w:pPr>
        <w:pStyle w:val="style179"/>
        <w:ind w:left="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ج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- المصالحة التقليدية "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فامبل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توك " في سيراليون :-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في سيراليون ، ركزت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فامبول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توك على المصالحة من خلال التدابير التصالحية بدلاً من العدالة العقابية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وهذه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الطريقة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مستوحاة من التقاليد الثقافية ووفقاً لرغبات السكان ، حيث تستند إجراءات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فامبول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توك إلى معتقدات وتقاليد كل مجتمع وتتبع النمط العام لقول الحقيقية وطلب الصفح والنسيان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 الأنظمة التقليدية لا تعالج مسألة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فلات من العقاب في حد ذاته ولكنها في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غ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الب تعلق آمال على الضحايا بأن يصفحوا عن مرتكبي الجرائم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- علاوة على ذلك ، فإن ممارسات الاجداد ــ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بما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تكون قد تطورت لتصحيح أو معالجة الجرائم الفردية أو الحوادث . وليسوا مستعدين للرد على الانتهاكات الجس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مة الهائلة التي طالت حقوق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نسان والانتهاكات الخطيرة للقانون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نساني ، وحتى الاطر القانونية المحلية المقننة غير كافية في الغالب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-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بينما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يتم العمل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على مبدأ أن العدالة شرط أساسي للمصالحة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فإن هذه الاساليب تدفع الأطراف 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لى التصالح سواء تحققت درجة مُرضية من العدالة للضحايا أ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لا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- تقوم أنظمة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العدالة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نتقالية التقليدية / غير الرسمية 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رض قرار ادماج الأعضاء الأكثر تأ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ث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يراً في المجتمع ( النساء والشباب )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كما يتضح من الأمثلة ، فإن الدول الأفريقية التي تتبنى العدالة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الانتقالية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تركز على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صالحة كضمان لعدم تكرار الصراع واحياناً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قد يبدو ذلك بانه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على حساب العدالة ومكافحة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فلات من العقاب ومع ذلك فإن مكافحة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فلات من العقاب وعدم تكرار العنف تظل ضرورية لتحقيق سلام دائم كما ذكر ذلك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الاتحاد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الافريقي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</w:p>
    <w:p>
      <w:pPr>
        <w:pStyle w:val="style179"/>
        <w:ind w:left="1080"/>
        <w:jc w:val="right"/>
        <w:rPr>
          <w:rFonts w:asciiTheme="majorBidi" w:hAnsiTheme="majorBidi" w:cstheme="majorBidi"/>
          <w:b/>
          <w:bCs/>
          <w:sz w:val="32"/>
          <w:szCs w:val="32"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3- وجهة نظر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الاتحاد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الأفريقي حول المصالحة الوطنية :-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من خلال الدروس المستفادة من التجارب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المختلفة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من مختلف انحاء القارة الأفريقية ، أكد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الاتحاد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الأفريقي على استخدام المصالحة كأداة للتخفيف من حدة النزاعات وحلها وفي عام 2009م اوصت لجنة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الاتحاد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الأفريقي الرفيعة المستوى المعنية بقضية دار فور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في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تقريرها بأن يعمل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الاتحاد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الأفريقي على تقييم تجارب أفريقيا المتنوعة ووضع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إطاراً لسياسة العدالة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الانتقالية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، ونتيجة لذلك تم إنشاء لجنة لصياغة إطار سياسة العدالة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الانتقالية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للاتحاد الافريقي . ويدور إطار سياسة العدالة الانتقالية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للاتحاد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الافريقي حول أربعة مجالات معيارية أساسية :-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أولاً :- الربط بين العدالة الانتقالية والمسائلة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ثانياً :- أهداف العدالة الانتقالية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ثالثاً :- تحقيق التوازن بين أهداف العدالة الانتقالية المتنافسة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- وأخيراً التتابع ( التسلسل )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ويسعى إطار سياسة العدالة الانتقالية للاتحاد الإفريقي إلى تعميق الروابط بين العدالة الانتقالية والحكم الرشيد وحقوق الانسان والتنمية والسلام والأمن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lang w:bidi="ar-YE"/>
        </w:rPr>
      </w:pP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وبينما نقر بأن الدول الأفريقية تضع المصالحة أمام العدالة عند الدخول في عملية العدالة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الانتقالية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ن لجنة الحكماء تشدد على ضرورة وجود هياكل قوية تمكن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من مكافحة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الإفلات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من العقاب من خلال اتخاذ تداب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 تصالحية مكملة للأساليب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صلاحية وفي الواقع فإن اهداف العدالة و المصالحة ليست متعارضة ولكن يجب موازنتها حتى يكون السلام دائماً ومن المحتمل ان يخلق نموذج العدالة العقابية المبني على المثل الاجن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ية افتقاراً إلى الفهم والاستياء التي من الممكن 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تكون عوامل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لص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اع جديد وهذا هو السبب في قيام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الاتحاد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الافريقي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باستخدام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لجان رفيعة المستوى لتشجيع العدالة الانتقالية و المصالحة والسلام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وتضطلع هذه اللجان بجهود الوساطة والمفاوضات لتشجيع الفصائل المسلحة على احترام حقوق الإنسان ، كما تتعاون مع المجموعات والآليات الاقتصادية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قليمية لضمان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الالتزام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باتفاقيات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السلام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المصالحات الوطنية ليست معارضة للعدالة ، ولكن من المهم أن نضع في الاعتبار تلك المخاوف الأف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ريقية المحددة ، حيث قامت البلدان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الأفريقية في بعض الأحيان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باستخدام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تدابير عقابية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وتداب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 للمصالحة معاً كما اتضح ذلك في رواندا وسيراليون واوغندا وكينيا ، مما يدل على أن المصالحة ليست هي الطريق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الوحيدة لت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بني عملية العدالة الانتقالية .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</w:p>
    <w:p>
      <w:pPr>
        <w:pStyle w:val="style179"/>
        <w:ind w:left="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الخاتمة :-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>في الختام لا تستند ال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آ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ليات التقليدية الأفريقية لحل الصراعات على العدالة الجزائية فقط كما تم تصورها في نظريات العدالة الانتقالية الكلاسيكية ، و لكن نظراً للتاريخ الافريقي واستناداً الى التنظيمات التقليدية للشعوب الافريقية فإنه عادة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ما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يكون هناك تفضيل للتدابير التصالحية مثل التسامح وإعادة الا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ن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دماج عندما يتعلق الأمر بحل الصراع ، وقد حظيت هذه الاساليب التقليدية بتأييد واستح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س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ان الدول التي تبنت عمليات العدالة الانتقالية وأكدت على تدابير المصالحة الوطنية مثل إنشاء لجان الحقيقة ، والعفو مقابل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الاعتراف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بالجرائم وطقوس تطهير الارض من جرا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ئ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م الماضي و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غ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يرها .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 </w:t>
      </w:r>
    </w:p>
    <w:p>
      <w:pPr>
        <w:pStyle w:val="style179"/>
        <w:ind w:left="1080"/>
        <w:jc w:val="right"/>
        <w:rPr>
          <w:rFonts w:asciiTheme="majorBidi" w:hAnsiTheme="majorBidi" w:cstheme="majorBidi"/>
          <w:sz w:val="32"/>
          <w:szCs w:val="32"/>
          <w:rtl/>
          <w:lang w:bidi="ar-YE"/>
        </w:rPr>
      </w:pP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ومع ذلك ، وعلى الرغم من الميول إلى قبول وتأييد المصالحة ـــ على المستوى الوطني ــ على العدالة الجزائية فإن الالتزامات الاقليمية والدولية تجبر الدول على ضمان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المسائلة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عن الج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رائم الماضية . وقد أبدى الأفارقه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التزامهم بتعزيز الهياكل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والمؤسسات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الوطنية لمكافحة الإفلات من العقاب ،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ف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التعايش السلمي هو كل ما تحتاجه المجتمعات ، ولا يق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صر السعي الى تحقيق التماسك الاجتماعي في فترة ما بعد الصراعات على المصالحة فحسب ، بل يضمن أيضاً المسائلة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>والاعتراف وهذا بدوره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يضمن عدم التكرار لاحقاً .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YE"/>
        </w:rPr>
        <w:t xml:space="preserve"> 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28B1A4"/>
    <w:lvl w:ilvl="0" w:tplc="163096B4">
      <w:start w:val="1"/>
      <w:numFmt w:val="bullet"/>
      <w:lvlText w:val="-"/>
      <w:lvlJc w:val="left"/>
      <w:pPr>
        <w:ind w:left="720" w:hanging="360"/>
      </w:pPr>
      <w:rPr>
        <w:rFonts w:ascii="Arial" w:cs="Arial" w:hAnsi="Arial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C21C18"/>
    <w:lvl w:ilvl="0" w:tplc="62C0EFA2">
      <w:start w:val="3"/>
      <w:numFmt w:val="bullet"/>
      <w:lvlText w:val="-"/>
      <w:lvlJc w:val="left"/>
      <w:pPr>
        <w:ind w:left="1440" w:hanging="360"/>
      </w:pPr>
      <w:rPr>
        <w:rFonts w:ascii="Arial" w:cs="Arial" w:hAnsi="Arial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FBC7770"/>
    <w:lvl w:ilvl="0" w:tplc="DDD8256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96F6F28A"/>
    <w:lvl w:ilvl="0" w:tplc="540A8D7E">
      <w:start w:val="1"/>
      <w:numFmt w:val="bullet"/>
      <w:lvlText w:val="-"/>
      <w:lvlJc w:val="left"/>
      <w:pPr>
        <w:ind w:left="1080" w:hanging="360"/>
      </w:pPr>
      <w:rPr>
        <w:rFonts w:ascii="Arial" w:cs="Arial" w:hAnsi="Arial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1288</Words>
  <Characters>6208</Characters>
  <Application>WPS Office</Application>
  <DocSecurity>0</DocSecurity>
  <Paragraphs>54</Paragraphs>
  <ScaleCrop>false</ScaleCrop>
  <Company>By DR.Ahmed Saker 2o1O ;)</Company>
  <LinksUpToDate>false</LinksUpToDate>
  <CharactersWithSpaces>7464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2019-03-23T17:31:31Z</dcterms:created>
  <dc:creator>SG</dc:creator>
  <lastModifiedBy>LT_M6</lastModifiedBy>
  <dcterms:modified xsi:type="dcterms:W3CDTF">2019-03-23T17:31:32Z</dcterms:modified>
  <revision>33</revision>
</coreProperties>
</file>